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42" w:rsidRPr="00AB2442" w:rsidRDefault="00AB2442" w:rsidP="00AB2442">
      <w:pPr>
        <w:shd w:val="clear" w:color="auto" w:fill="FFFFFF"/>
        <w:spacing w:before="150" w:after="150" w:line="300" w:lineRule="atLeast"/>
        <w:jc w:val="center"/>
        <w:outlineLvl w:val="3"/>
        <w:rPr>
          <w:rFonts w:ascii="Helvetica" w:eastAsia="Times New Roman" w:hAnsi="Helvetica" w:cs="Times New Roman"/>
          <w:b/>
          <w:bCs/>
          <w:color w:val="333366"/>
          <w:sz w:val="30"/>
          <w:szCs w:val="30"/>
        </w:rPr>
      </w:pPr>
      <w:r w:rsidRPr="00AB2442">
        <w:rPr>
          <w:rFonts w:ascii="Helvetica" w:eastAsia="Times New Roman" w:hAnsi="Helvetica" w:cs="Times New Roman"/>
          <w:b/>
          <w:bCs/>
          <w:color w:val="333366"/>
          <w:sz w:val="30"/>
          <w:szCs w:val="30"/>
        </w:rPr>
        <w:t>Lewis and Clark Encounter Black Snakes</w:t>
      </w:r>
    </w:p>
    <w:p w:rsidR="00AB2442" w:rsidRPr="00AB2442" w:rsidRDefault="00AB2442" w:rsidP="00AB244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66"/>
          <w:sz w:val="21"/>
          <w:szCs w:val="21"/>
        </w:rPr>
      </w:pPr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 xml:space="preserve">On July 23, 1805 while on the Missouri River near modern day Townsend, MT, Meriwether Lewis observed an unusual snake: “I saw a black snake today about two feet long the Belly of which was as black as any other part or as jet itself. </w:t>
      </w:r>
      <w:proofErr w:type="gramStart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>it</w:t>
      </w:r>
      <w:proofErr w:type="gramEnd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 xml:space="preserve"> had 128 </w:t>
      </w:r>
      <w:proofErr w:type="spellStart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>scuta</w:t>
      </w:r>
      <w:proofErr w:type="spellEnd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 xml:space="preserve"> on the </w:t>
      </w:r>
      <w:proofErr w:type="spellStart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>belley</w:t>
      </w:r>
      <w:proofErr w:type="spellEnd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 xml:space="preserve"> 63 on the tail” (Lewis et al. 2002). Based on this account, subsequent investigators (Coues 1893; Burroughs and </w:t>
      </w:r>
      <w:proofErr w:type="spellStart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>Carricker</w:t>
      </w:r>
      <w:proofErr w:type="spellEnd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 xml:space="preserve"> 1995; </w:t>
      </w:r>
      <w:proofErr w:type="spellStart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>Cutright</w:t>
      </w:r>
      <w:proofErr w:type="spellEnd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 xml:space="preserve"> 2003) have given Lewis credit for the first description of a Western Hog-nosed Snake (</w:t>
      </w:r>
      <w:proofErr w:type="spellStart"/>
      <w:r w:rsidRPr="00AB2442">
        <w:rPr>
          <w:rFonts w:ascii="Helvetica" w:eastAsia="Times New Roman" w:hAnsi="Helvetica" w:cs="Times New Roman"/>
          <w:i/>
          <w:iCs/>
          <w:color w:val="333366"/>
          <w:sz w:val="21"/>
          <w:szCs w:val="21"/>
        </w:rPr>
        <w:t>Heterodon</w:t>
      </w:r>
      <w:proofErr w:type="spellEnd"/>
      <w:r w:rsidRPr="00AB2442">
        <w:rPr>
          <w:rFonts w:ascii="Helvetica" w:eastAsia="Times New Roman" w:hAnsi="Helvetica" w:cs="Times New Roman"/>
          <w:i/>
          <w:iCs/>
          <w:color w:val="333366"/>
          <w:sz w:val="21"/>
          <w:szCs w:val="21"/>
        </w:rPr>
        <w:t xml:space="preserve"> </w:t>
      </w:r>
      <w:proofErr w:type="spellStart"/>
      <w:r w:rsidRPr="00AB2442">
        <w:rPr>
          <w:rFonts w:ascii="Helvetica" w:eastAsia="Times New Roman" w:hAnsi="Helvetica" w:cs="Times New Roman"/>
          <w:i/>
          <w:iCs/>
          <w:color w:val="333366"/>
          <w:sz w:val="21"/>
          <w:szCs w:val="21"/>
        </w:rPr>
        <w:t>nasicus</w:t>
      </w:r>
      <w:proofErr w:type="spellEnd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 xml:space="preserve">). This is likely an error. In recent decades, herpetologists have documented </w:t>
      </w:r>
      <w:proofErr w:type="spellStart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>melanistic</w:t>
      </w:r>
      <w:proofErr w:type="spellEnd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 xml:space="preserve"> garter snakes in Broadwater Co. near Townsend, MT that are jet black in appearance. However, it has remained unclear whether the individuals are polymorphs of the Common </w:t>
      </w:r>
      <w:proofErr w:type="spellStart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>Gartersnake</w:t>
      </w:r>
      <w:proofErr w:type="spellEnd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 xml:space="preserve"> (</w:t>
      </w:r>
      <w:r w:rsidRPr="00AB2442">
        <w:rPr>
          <w:rFonts w:ascii="Helvetica" w:eastAsia="Times New Roman" w:hAnsi="Helvetica" w:cs="Times New Roman"/>
          <w:i/>
          <w:iCs/>
          <w:color w:val="333366"/>
          <w:sz w:val="21"/>
          <w:szCs w:val="21"/>
        </w:rPr>
        <w:t xml:space="preserve">Thamnophis </w:t>
      </w:r>
      <w:proofErr w:type="spellStart"/>
      <w:r w:rsidRPr="00AB2442">
        <w:rPr>
          <w:rFonts w:ascii="Helvetica" w:eastAsia="Times New Roman" w:hAnsi="Helvetica" w:cs="Times New Roman"/>
          <w:i/>
          <w:iCs/>
          <w:color w:val="333366"/>
          <w:sz w:val="21"/>
          <w:szCs w:val="21"/>
        </w:rPr>
        <w:t>sirtalis</w:t>
      </w:r>
      <w:proofErr w:type="spellEnd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 xml:space="preserve">) or Terrestrial </w:t>
      </w:r>
      <w:proofErr w:type="spellStart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>Gartersnake</w:t>
      </w:r>
      <w:proofErr w:type="spellEnd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 xml:space="preserve"> (</w:t>
      </w:r>
      <w:r w:rsidRPr="00AB2442">
        <w:rPr>
          <w:rFonts w:ascii="Helvetica" w:eastAsia="Times New Roman" w:hAnsi="Helvetica" w:cs="Times New Roman"/>
          <w:i/>
          <w:iCs/>
          <w:color w:val="333366"/>
          <w:sz w:val="21"/>
          <w:szCs w:val="21"/>
        </w:rPr>
        <w:t xml:space="preserve">T. </w:t>
      </w:r>
      <w:proofErr w:type="spellStart"/>
      <w:r w:rsidRPr="00AB2442">
        <w:rPr>
          <w:rFonts w:ascii="Helvetica" w:eastAsia="Times New Roman" w:hAnsi="Helvetica" w:cs="Times New Roman"/>
          <w:i/>
          <w:iCs/>
          <w:color w:val="333366"/>
          <w:sz w:val="21"/>
          <w:szCs w:val="21"/>
        </w:rPr>
        <w:t>elegans</w:t>
      </w:r>
      <w:proofErr w:type="spellEnd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 xml:space="preserve">) as both occur in the county (Werner et al. 2004). Carroll biology students analyzed scale phenotypes to compare </w:t>
      </w:r>
      <w:proofErr w:type="spellStart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>melanistic</w:t>
      </w:r>
      <w:proofErr w:type="spellEnd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 xml:space="preserve"> individuals with typical morphs of </w:t>
      </w:r>
      <w:r w:rsidRPr="00AB2442">
        <w:rPr>
          <w:rFonts w:ascii="Helvetica" w:eastAsia="Times New Roman" w:hAnsi="Helvetica" w:cs="Times New Roman"/>
          <w:i/>
          <w:iCs/>
          <w:color w:val="333366"/>
          <w:sz w:val="21"/>
          <w:szCs w:val="21"/>
        </w:rPr>
        <w:t xml:space="preserve">T. </w:t>
      </w:r>
      <w:proofErr w:type="spellStart"/>
      <w:r w:rsidRPr="00AB2442">
        <w:rPr>
          <w:rFonts w:ascii="Helvetica" w:eastAsia="Times New Roman" w:hAnsi="Helvetica" w:cs="Times New Roman"/>
          <w:i/>
          <w:iCs/>
          <w:color w:val="333366"/>
          <w:sz w:val="21"/>
          <w:szCs w:val="21"/>
        </w:rPr>
        <w:t>sirtalis</w:t>
      </w:r>
      <w:proofErr w:type="spellEnd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> and </w:t>
      </w:r>
      <w:r w:rsidRPr="00AB2442">
        <w:rPr>
          <w:rFonts w:ascii="Helvetica" w:eastAsia="Times New Roman" w:hAnsi="Helvetica" w:cs="Times New Roman"/>
          <w:i/>
          <w:iCs/>
          <w:color w:val="333366"/>
          <w:sz w:val="21"/>
          <w:szCs w:val="21"/>
        </w:rPr>
        <w:t xml:space="preserve">T. </w:t>
      </w:r>
      <w:proofErr w:type="spellStart"/>
      <w:r w:rsidRPr="00AB2442">
        <w:rPr>
          <w:rFonts w:ascii="Helvetica" w:eastAsia="Times New Roman" w:hAnsi="Helvetica" w:cs="Times New Roman"/>
          <w:i/>
          <w:iCs/>
          <w:color w:val="333366"/>
          <w:sz w:val="21"/>
          <w:szCs w:val="21"/>
        </w:rPr>
        <w:t>elegans</w:t>
      </w:r>
      <w:proofErr w:type="spellEnd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> from one hibernaculum near Townsend, MT.</w:t>
      </w:r>
    </w:p>
    <w:p w:rsidR="00AB2442" w:rsidRPr="00AB2442" w:rsidRDefault="00AB2442" w:rsidP="00AB244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66"/>
          <w:sz w:val="21"/>
          <w:szCs w:val="21"/>
        </w:rPr>
      </w:pPr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> </w:t>
      </w:r>
    </w:p>
    <w:p w:rsidR="00AB2442" w:rsidRPr="00AB2442" w:rsidRDefault="00AB2442" w:rsidP="00AB244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66"/>
          <w:sz w:val="21"/>
          <w:szCs w:val="21"/>
        </w:rPr>
      </w:pPr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 xml:space="preserve">Using the specimen data in the EXCEL file below and scale phenotypes described by </w:t>
      </w:r>
      <w:proofErr w:type="spellStart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>Rossman</w:t>
      </w:r>
      <w:proofErr w:type="spellEnd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 xml:space="preserve"> et al. (1996), students will use the one meristic measure (the number of </w:t>
      </w:r>
      <w:proofErr w:type="spellStart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>supralabial</w:t>
      </w:r>
      <w:proofErr w:type="spellEnd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 xml:space="preserve"> scales) and three linear ratios to characterize each specimen. Length ratios included: 1) the prefrontal scale length relative to the </w:t>
      </w:r>
      <w:proofErr w:type="spellStart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>internasal</w:t>
      </w:r>
      <w:proofErr w:type="spellEnd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 xml:space="preserve"> scale length (PF/IN), 2) anterior chin-shield length relative to the posterior chin-shield length (ACS/PCS), and 3) the muzzle length relative to the frontal length (ML/FL). Together with the </w:t>
      </w:r>
      <w:proofErr w:type="spellStart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>supralabial</w:t>
      </w:r>
      <w:proofErr w:type="spellEnd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 xml:space="preserve"> count (usually 8 for </w:t>
      </w:r>
      <w:r w:rsidRPr="00AB2442">
        <w:rPr>
          <w:rFonts w:ascii="Helvetica" w:eastAsia="Times New Roman" w:hAnsi="Helvetica" w:cs="Times New Roman"/>
          <w:i/>
          <w:iCs/>
          <w:color w:val="333366"/>
          <w:sz w:val="21"/>
          <w:szCs w:val="21"/>
        </w:rPr>
        <w:t xml:space="preserve">T. </w:t>
      </w:r>
      <w:proofErr w:type="spellStart"/>
      <w:r w:rsidRPr="00AB2442">
        <w:rPr>
          <w:rFonts w:ascii="Helvetica" w:eastAsia="Times New Roman" w:hAnsi="Helvetica" w:cs="Times New Roman"/>
          <w:i/>
          <w:iCs/>
          <w:color w:val="333366"/>
          <w:sz w:val="21"/>
          <w:szCs w:val="21"/>
        </w:rPr>
        <w:t>elegans</w:t>
      </w:r>
      <w:proofErr w:type="spellEnd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> versus 7 for </w:t>
      </w:r>
      <w:r w:rsidRPr="00AB2442">
        <w:rPr>
          <w:rFonts w:ascii="Helvetica" w:eastAsia="Times New Roman" w:hAnsi="Helvetica" w:cs="Times New Roman"/>
          <w:i/>
          <w:iCs/>
          <w:color w:val="333366"/>
          <w:sz w:val="21"/>
          <w:szCs w:val="21"/>
        </w:rPr>
        <w:t xml:space="preserve">T. </w:t>
      </w:r>
      <w:proofErr w:type="spellStart"/>
      <w:r w:rsidRPr="00AB2442">
        <w:rPr>
          <w:rFonts w:ascii="Helvetica" w:eastAsia="Times New Roman" w:hAnsi="Helvetica" w:cs="Times New Roman"/>
          <w:i/>
          <w:iCs/>
          <w:color w:val="333366"/>
          <w:sz w:val="21"/>
          <w:szCs w:val="21"/>
        </w:rPr>
        <w:t>sirtalis</w:t>
      </w:r>
      <w:proofErr w:type="spellEnd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 xml:space="preserve">), these linear </w:t>
      </w:r>
      <w:proofErr w:type="spellStart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>morphometrics</w:t>
      </w:r>
      <w:proofErr w:type="spellEnd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 xml:space="preserve"> are the most disparate measures between </w:t>
      </w:r>
      <w:r w:rsidRPr="00AB2442">
        <w:rPr>
          <w:rFonts w:ascii="Helvetica" w:eastAsia="Times New Roman" w:hAnsi="Helvetica" w:cs="Times New Roman"/>
          <w:i/>
          <w:iCs/>
          <w:color w:val="333366"/>
          <w:sz w:val="21"/>
          <w:szCs w:val="21"/>
        </w:rPr>
        <w:t xml:space="preserve">T. </w:t>
      </w:r>
      <w:proofErr w:type="spellStart"/>
      <w:r w:rsidRPr="00AB2442">
        <w:rPr>
          <w:rFonts w:ascii="Helvetica" w:eastAsia="Times New Roman" w:hAnsi="Helvetica" w:cs="Times New Roman"/>
          <w:i/>
          <w:iCs/>
          <w:color w:val="333366"/>
          <w:sz w:val="21"/>
          <w:szCs w:val="21"/>
        </w:rPr>
        <w:t>sirtalis</w:t>
      </w:r>
      <w:proofErr w:type="spellEnd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> and </w:t>
      </w:r>
      <w:r w:rsidRPr="00AB2442">
        <w:rPr>
          <w:rFonts w:ascii="Helvetica" w:eastAsia="Times New Roman" w:hAnsi="Helvetica" w:cs="Times New Roman"/>
          <w:i/>
          <w:iCs/>
          <w:color w:val="333366"/>
          <w:sz w:val="21"/>
          <w:szCs w:val="21"/>
        </w:rPr>
        <w:t xml:space="preserve">T. </w:t>
      </w:r>
      <w:proofErr w:type="spellStart"/>
      <w:r w:rsidRPr="00AB2442">
        <w:rPr>
          <w:rFonts w:ascii="Helvetica" w:eastAsia="Times New Roman" w:hAnsi="Helvetica" w:cs="Times New Roman"/>
          <w:i/>
          <w:iCs/>
          <w:color w:val="333366"/>
          <w:sz w:val="21"/>
          <w:szCs w:val="21"/>
        </w:rPr>
        <w:t>elegans</w:t>
      </w:r>
      <w:proofErr w:type="spellEnd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> (</w:t>
      </w:r>
      <w:proofErr w:type="spellStart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>Rossman</w:t>
      </w:r>
      <w:proofErr w:type="spellEnd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 xml:space="preserve"> et al. 1996) providing the best opportunity for phenotypically delineating the two species and </w:t>
      </w:r>
      <w:proofErr w:type="spellStart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>melanistic</w:t>
      </w:r>
      <w:proofErr w:type="spellEnd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 xml:space="preserve"> individuals.</w:t>
      </w:r>
    </w:p>
    <w:p w:rsidR="00AB2442" w:rsidRPr="00AB2442" w:rsidRDefault="00AB2442" w:rsidP="00AB244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66"/>
          <w:sz w:val="21"/>
          <w:szCs w:val="21"/>
        </w:rPr>
      </w:pPr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> </w:t>
      </w:r>
    </w:p>
    <w:p w:rsidR="00AB2442" w:rsidRPr="00AB2442" w:rsidRDefault="00AB2442" w:rsidP="00AB244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66"/>
          <w:sz w:val="21"/>
          <w:szCs w:val="21"/>
        </w:rPr>
      </w:pPr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 xml:space="preserve">Using appropriate frequency and comparative inferential statistics, which species do the </w:t>
      </w:r>
      <w:proofErr w:type="spellStart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>melanistic</w:t>
      </w:r>
      <w:proofErr w:type="spellEnd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 xml:space="preserve"> snakes most likely belong to?</w:t>
      </w:r>
    </w:p>
    <w:p w:rsidR="00AB2442" w:rsidRDefault="00AB2442" w:rsidP="00AB244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66"/>
          <w:sz w:val="21"/>
          <w:szCs w:val="21"/>
        </w:rPr>
      </w:pPr>
    </w:p>
    <w:p w:rsidR="00AB2442" w:rsidRPr="00AB2442" w:rsidRDefault="00AB2442" w:rsidP="00AB244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66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52C2E6DD" wp14:editId="4618CEEB">
            <wp:extent cx="5086350" cy="3571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442" w:rsidRPr="00AB2442" w:rsidRDefault="00AB2442" w:rsidP="00AB244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66"/>
          <w:sz w:val="21"/>
          <w:szCs w:val="21"/>
        </w:rPr>
      </w:pPr>
      <w:r>
        <w:rPr>
          <w:noProof/>
        </w:rPr>
        <w:drawing>
          <wp:inline distT="0" distB="0" distL="0" distR="0" wp14:anchorId="367B74FD" wp14:editId="3943F1CA">
            <wp:extent cx="5086350" cy="1219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442" w:rsidRPr="00AB2442" w:rsidRDefault="00AB2442" w:rsidP="00AB244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66"/>
          <w:sz w:val="21"/>
          <w:szCs w:val="21"/>
        </w:rPr>
      </w:pPr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> </w:t>
      </w:r>
      <w:bookmarkStart w:id="0" w:name="_GoBack"/>
      <w:bookmarkEnd w:id="0"/>
    </w:p>
    <w:p w:rsidR="00AB2442" w:rsidRPr="00AB2442" w:rsidRDefault="00AB2442" w:rsidP="00AB244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66"/>
          <w:sz w:val="21"/>
          <w:szCs w:val="21"/>
        </w:rPr>
      </w:pPr>
      <w:proofErr w:type="gramStart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>Figure 1.</w:t>
      </w:r>
      <w:proofErr w:type="gramEnd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 xml:space="preserve"> Scale phenotypes as described by </w:t>
      </w:r>
      <w:proofErr w:type="spellStart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>Rossman</w:t>
      </w:r>
      <w:proofErr w:type="spellEnd"/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 xml:space="preserve"> et al 1996.</w:t>
      </w:r>
    </w:p>
    <w:p w:rsidR="00AB2442" w:rsidRPr="00AB2442" w:rsidRDefault="00AB2442" w:rsidP="00AB244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66"/>
          <w:sz w:val="21"/>
          <w:szCs w:val="21"/>
        </w:rPr>
      </w:pPr>
      <w:r w:rsidRPr="00AB2442">
        <w:rPr>
          <w:rFonts w:ascii="Helvetica" w:eastAsia="Times New Roman" w:hAnsi="Helvetica" w:cs="Times New Roman"/>
          <w:color w:val="333366"/>
          <w:sz w:val="21"/>
          <w:szCs w:val="21"/>
        </w:rPr>
        <w:t> </w:t>
      </w:r>
    </w:p>
    <w:p w:rsidR="006960C2" w:rsidRDefault="006960C2"/>
    <w:sectPr w:rsidR="00696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42"/>
    <w:rsid w:val="006960C2"/>
    <w:rsid w:val="00AB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B24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B24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B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B2442"/>
  </w:style>
  <w:style w:type="paragraph" w:styleId="BalloonText">
    <w:name w:val="Balloon Text"/>
    <w:basedOn w:val="Normal"/>
    <w:link w:val="BalloonTextChar"/>
    <w:uiPriority w:val="99"/>
    <w:semiHidden/>
    <w:unhideWhenUsed/>
    <w:rsid w:val="00AB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B24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B24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B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B2442"/>
  </w:style>
  <w:style w:type="paragraph" w:styleId="BalloonText">
    <w:name w:val="Balloon Text"/>
    <w:basedOn w:val="Normal"/>
    <w:link w:val="BalloonTextChar"/>
    <w:uiPriority w:val="99"/>
    <w:semiHidden/>
    <w:unhideWhenUsed/>
    <w:rsid w:val="00AB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978F3692.dotm</Template>
  <TotalTime>3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College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Cline, Kelly</dc:creator>
  <cp:lastModifiedBy>Cline, Kelly</cp:lastModifiedBy>
  <cp:revision>1</cp:revision>
  <dcterms:created xsi:type="dcterms:W3CDTF">2017-05-30T21:05:00Z</dcterms:created>
  <dcterms:modified xsi:type="dcterms:W3CDTF">2017-05-30T21:08:00Z</dcterms:modified>
</cp:coreProperties>
</file>